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cs="宋体"/>
          <w:kern w:val="0"/>
          <w:sz w:val="36"/>
          <w:szCs w:val="36"/>
        </w:rPr>
      </w:pPr>
      <w:r>
        <w:rPr>
          <w:rFonts w:hint="eastAsia" w:ascii="黑体" w:hAnsi="宋体" w:eastAsia="黑体" w:cs="宋体"/>
          <w:kern w:val="0"/>
          <w:sz w:val="36"/>
          <w:szCs w:val="36"/>
        </w:rPr>
        <w:t>201</w:t>
      </w:r>
      <w:r>
        <w:rPr>
          <w:rFonts w:hint="eastAsia" w:ascii="黑体" w:hAnsi="宋体" w:eastAsia="黑体" w:cs="宋体"/>
          <w:kern w:val="0"/>
          <w:sz w:val="36"/>
          <w:szCs w:val="36"/>
          <w:lang w:val="en-US" w:eastAsia="zh-CN"/>
        </w:rPr>
        <w:t>8</w:t>
      </w:r>
      <w:r>
        <w:rPr>
          <w:rFonts w:hint="eastAsia" w:ascii="黑体" w:hAnsi="宋体" w:eastAsia="黑体" w:cs="宋体"/>
          <w:kern w:val="0"/>
          <w:sz w:val="36"/>
          <w:szCs w:val="36"/>
        </w:rPr>
        <w:t>年1-</w:t>
      </w:r>
      <w:r>
        <w:rPr>
          <w:rFonts w:hint="eastAsia" w:ascii="黑体" w:hAnsi="宋体" w:eastAsia="黑体" w:cs="宋体"/>
          <w:kern w:val="0"/>
          <w:sz w:val="36"/>
          <w:szCs w:val="36"/>
          <w:u w:val="single"/>
        </w:rPr>
        <w:t xml:space="preserve"> </w:t>
      </w:r>
      <w:r>
        <w:rPr>
          <w:rFonts w:hint="eastAsia" w:ascii="黑体" w:hAnsi="宋体" w:eastAsia="黑体" w:cs="宋体"/>
          <w:kern w:val="0"/>
          <w:sz w:val="36"/>
          <w:szCs w:val="36"/>
          <w:u w:val="single"/>
          <w:lang w:val="en-US" w:eastAsia="zh-CN"/>
        </w:rPr>
        <w:t>6</w:t>
      </w:r>
      <w:r>
        <w:rPr>
          <w:rFonts w:hint="eastAsia" w:ascii="黑体" w:hAnsi="宋体" w:eastAsia="黑体" w:cs="宋体"/>
          <w:kern w:val="0"/>
          <w:sz w:val="36"/>
          <w:szCs w:val="36"/>
        </w:rPr>
        <w:t>月重点民生实事项目进度报表</w:t>
      </w:r>
    </w:p>
    <w:p>
      <w:pPr>
        <w:spacing w:line="400" w:lineRule="exact"/>
        <w:jc w:val="center"/>
        <w:rPr>
          <w:rFonts w:hint="eastAsia" w:ascii="黑体" w:hAnsi="宋体" w:eastAsia="黑体" w:cs="宋体"/>
          <w:kern w:val="0"/>
          <w:sz w:val="36"/>
          <w:szCs w:val="36"/>
        </w:rPr>
      </w:pPr>
    </w:p>
    <w:p>
      <w:pPr>
        <w:spacing w:line="300" w:lineRule="exact"/>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填报单位(盖章)：</w:t>
      </w:r>
      <w:r>
        <w:rPr>
          <w:rFonts w:hint="eastAsia" w:ascii="仿宋_GB2312" w:hAnsi="宋体" w:eastAsia="仿宋_GB2312" w:cs="宋体"/>
          <w:kern w:val="0"/>
          <w:sz w:val="24"/>
          <w:szCs w:val="24"/>
          <w:lang w:eastAsia="zh-CN"/>
        </w:rPr>
        <w:t>湘西州重点民生实事考核办</w:t>
      </w:r>
      <w:r>
        <w:rPr>
          <w:rFonts w:hint="eastAsia" w:ascii="仿宋_GB2312" w:hAnsi="宋体" w:eastAsia="仿宋_GB2312" w:cs="宋体"/>
          <w:kern w:val="0"/>
          <w:sz w:val="24"/>
          <w:szCs w:val="24"/>
        </w:rPr>
        <w:t xml:space="preserve"> 主管领导签字：</w:t>
      </w:r>
      <w:r>
        <w:rPr>
          <w:rFonts w:hint="eastAsia" w:ascii="仿宋_GB2312" w:hAnsi="宋体" w:eastAsia="仿宋_GB2312" w:cs="宋体"/>
          <w:kern w:val="0"/>
          <w:sz w:val="24"/>
          <w:szCs w:val="24"/>
          <w:lang w:eastAsia="zh-CN"/>
        </w:rPr>
        <w:t>吴明强</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rPr>
        <w:t>填报人：</w:t>
      </w:r>
      <w:r>
        <w:rPr>
          <w:rFonts w:hint="eastAsia" w:ascii="仿宋_GB2312" w:hAnsi="宋体" w:eastAsia="仿宋_GB2312" w:cs="宋体"/>
          <w:kern w:val="0"/>
          <w:sz w:val="24"/>
          <w:szCs w:val="24"/>
          <w:lang w:eastAsia="zh-CN"/>
        </w:rPr>
        <w:t>舒中伟</w:t>
      </w:r>
    </w:p>
    <w:p>
      <w:pPr>
        <w:spacing w:line="300" w:lineRule="exact"/>
        <w:rPr>
          <w:rFonts w:hint="eastAsia" w:ascii="仿宋_GB2312" w:hAnsi="宋体" w:eastAsia="仿宋_GB2312" w:cs="宋体"/>
          <w:kern w:val="0"/>
          <w:sz w:val="24"/>
          <w:szCs w:val="24"/>
        </w:rPr>
      </w:pPr>
    </w:p>
    <w:tbl>
      <w:tblPr>
        <w:tblStyle w:val="3"/>
        <w:tblW w:w="10688" w:type="dxa"/>
        <w:tblInd w:w="-7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223"/>
        <w:gridCol w:w="4096"/>
        <w:gridCol w:w="1303"/>
        <w:gridCol w:w="130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86" w:type="dxa"/>
            <w:vMerge w:val="restart"/>
            <w:tcBorders>
              <w:tl2br w:val="nil"/>
              <w:tr2bl w:val="nil"/>
            </w:tcBorders>
            <w:vAlign w:val="center"/>
          </w:tcPr>
          <w:p>
            <w:pPr>
              <w:widowControl/>
              <w:jc w:val="center"/>
              <w:rPr>
                <w:rFonts w:ascii="宋体" w:hAnsi="宋体" w:cs="宋体"/>
                <w:b/>
                <w:bCs/>
                <w:kern w:val="0"/>
                <w:sz w:val="20"/>
              </w:rPr>
            </w:pPr>
            <w:r>
              <w:rPr>
                <w:rFonts w:hint="eastAsia" w:ascii="宋体" w:hAnsi="宋体" w:cs="宋体"/>
                <w:b/>
                <w:bCs/>
                <w:kern w:val="0"/>
                <w:sz w:val="20"/>
              </w:rPr>
              <w:t>事项</w:t>
            </w:r>
          </w:p>
        </w:tc>
        <w:tc>
          <w:tcPr>
            <w:tcW w:w="2223" w:type="dxa"/>
            <w:vMerge w:val="restart"/>
            <w:tcBorders>
              <w:tl2br w:val="nil"/>
              <w:tr2bl w:val="nil"/>
            </w:tcBorders>
            <w:vAlign w:val="center"/>
          </w:tcPr>
          <w:p>
            <w:pPr>
              <w:widowControl/>
              <w:jc w:val="center"/>
              <w:rPr>
                <w:rFonts w:ascii="宋体" w:hAnsi="宋体" w:cs="宋体"/>
                <w:b/>
                <w:bCs/>
                <w:kern w:val="0"/>
                <w:sz w:val="20"/>
              </w:rPr>
            </w:pPr>
            <w:r>
              <w:rPr>
                <w:rFonts w:hint="eastAsia" w:ascii="宋体" w:hAnsi="宋体" w:cs="宋体"/>
                <w:b/>
                <w:bCs/>
                <w:kern w:val="0"/>
                <w:sz w:val="20"/>
              </w:rPr>
              <w:t>考核指标</w:t>
            </w:r>
          </w:p>
        </w:tc>
        <w:tc>
          <w:tcPr>
            <w:tcW w:w="4096" w:type="dxa"/>
            <w:vMerge w:val="restart"/>
            <w:tcBorders>
              <w:tl2br w:val="nil"/>
              <w:tr2bl w:val="nil"/>
            </w:tcBorders>
            <w:vAlign w:val="center"/>
          </w:tcPr>
          <w:p>
            <w:pPr>
              <w:widowControl/>
              <w:jc w:val="center"/>
              <w:rPr>
                <w:rFonts w:ascii="宋体" w:hAnsi="宋体" w:cs="宋体"/>
                <w:b/>
                <w:bCs/>
                <w:kern w:val="0"/>
                <w:sz w:val="20"/>
              </w:rPr>
            </w:pPr>
            <w:r>
              <w:rPr>
                <w:rFonts w:hint="eastAsia" w:ascii="宋体" w:hAnsi="宋体" w:cs="宋体"/>
                <w:b/>
                <w:bCs/>
                <w:kern w:val="0"/>
                <w:sz w:val="20"/>
              </w:rPr>
              <w:t>工作目标</w:t>
            </w:r>
          </w:p>
        </w:tc>
        <w:tc>
          <w:tcPr>
            <w:tcW w:w="2606" w:type="dxa"/>
            <w:gridSpan w:val="2"/>
            <w:tcBorders>
              <w:tl2br w:val="nil"/>
              <w:tr2bl w:val="nil"/>
            </w:tcBorders>
            <w:vAlign w:val="center"/>
          </w:tcPr>
          <w:p>
            <w:pPr>
              <w:widowControl/>
              <w:jc w:val="center"/>
              <w:rPr>
                <w:rFonts w:hint="eastAsia" w:ascii="宋体" w:hAnsi="宋体" w:cs="宋体"/>
                <w:b/>
                <w:bCs/>
                <w:kern w:val="0"/>
                <w:sz w:val="20"/>
              </w:rPr>
            </w:pPr>
            <w:r>
              <w:rPr>
                <w:rFonts w:hint="eastAsia" w:ascii="宋体" w:hAnsi="宋体" w:cs="宋体"/>
                <w:b/>
                <w:bCs/>
                <w:kern w:val="0"/>
                <w:sz w:val="20"/>
              </w:rPr>
              <w:t>完成情况</w:t>
            </w:r>
          </w:p>
        </w:tc>
        <w:tc>
          <w:tcPr>
            <w:tcW w:w="1277" w:type="dxa"/>
            <w:vMerge w:val="restart"/>
            <w:tcBorders>
              <w:tl2br w:val="nil"/>
              <w:tr2bl w:val="nil"/>
            </w:tcBorders>
            <w:vAlign w:val="center"/>
          </w:tcPr>
          <w:p>
            <w:pPr>
              <w:widowControl/>
              <w:jc w:val="center"/>
              <w:rPr>
                <w:rFonts w:hint="eastAsia" w:ascii="宋体" w:hAnsi="宋体" w:cs="宋体"/>
                <w:b/>
                <w:bCs/>
                <w:kern w:val="0"/>
                <w:sz w:val="20"/>
              </w:rPr>
            </w:pPr>
            <w:r>
              <w:rPr>
                <w:rFonts w:hint="eastAsia" w:ascii="宋体" w:hAnsi="宋体" w:cs="宋体"/>
                <w:b/>
                <w:bCs/>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86" w:type="dxa"/>
            <w:vMerge w:val="continue"/>
            <w:tcBorders>
              <w:tl2br w:val="nil"/>
              <w:tr2bl w:val="nil"/>
            </w:tcBorders>
            <w:vAlign w:val="center"/>
          </w:tcPr>
          <w:p>
            <w:pPr>
              <w:widowControl/>
              <w:jc w:val="center"/>
            </w:pPr>
          </w:p>
        </w:tc>
        <w:tc>
          <w:tcPr>
            <w:tcW w:w="2223" w:type="dxa"/>
            <w:vMerge w:val="continue"/>
            <w:tcBorders>
              <w:tl2br w:val="nil"/>
              <w:tr2bl w:val="nil"/>
            </w:tcBorders>
            <w:vAlign w:val="center"/>
          </w:tcPr>
          <w:p>
            <w:pPr>
              <w:widowControl/>
              <w:jc w:val="center"/>
            </w:pPr>
          </w:p>
        </w:tc>
        <w:tc>
          <w:tcPr>
            <w:tcW w:w="4096" w:type="dxa"/>
            <w:vMerge w:val="continue"/>
            <w:tcBorders>
              <w:tl2br w:val="nil"/>
              <w:tr2bl w:val="nil"/>
            </w:tcBorders>
            <w:vAlign w:val="center"/>
          </w:tcPr>
          <w:p>
            <w:pPr>
              <w:widowControl/>
              <w:jc w:val="center"/>
            </w:pPr>
          </w:p>
        </w:tc>
        <w:tc>
          <w:tcPr>
            <w:tcW w:w="1303" w:type="dxa"/>
            <w:tcBorders>
              <w:tl2br w:val="nil"/>
              <w:tr2bl w:val="nil"/>
            </w:tcBorders>
            <w:vAlign w:val="center"/>
          </w:tcPr>
          <w:p>
            <w:pPr>
              <w:widowControl/>
              <w:jc w:val="center"/>
              <w:rPr>
                <w:rFonts w:hint="eastAsia" w:ascii="宋体" w:hAnsi="宋体" w:eastAsia="宋体" w:cs="宋体"/>
                <w:b/>
                <w:bCs/>
                <w:kern w:val="0"/>
                <w:sz w:val="20"/>
                <w:lang w:eastAsia="zh-CN"/>
              </w:rPr>
            </w:pPr>
            <w:r>
              <w:rPr>
                <w:rFonts w:hint="eastAsia" w:ascii="宋体" w:hAnsi="宋体" w:cs="宋体"/>
                <w:b/>
                <w:bCs/>
                <w:kern w:val="0"/>
                <w:sz w:val="20"/>
                <w:lang w:eastAsia="zh-CN"/>
              </w:rPr>
              <w:t>形象进度</w:t>
            </w:r>
          </w:p>
        </w:tc>
        <w:tc>
          <w:tcPr>
            <w:tcW w:w="1303" w:type="dxa"/>
            <w:tcBorders>
              <w:tl2br w:val="nil"/>
              <w:tr2bl w:val="nil"/>
            </w:tcBorders>
            <w:vAlign w:val="center"/>
          </w:tcPr>
          <w:p>
            <w:pPr>
              <w:widowControl/>
              <w:jc w:val="center"/>
              <w:rPr>
                <w:rFonts w:hint="eastAsia" w:ascii="宋体" w:hAnsi="宋体" w:eastAsia="宋体" w:cs="宋体"/>
                <w:b/>
                <w:bCs/>
                <w:kern w:val="0"/>
                <w:sz w:val="20"/>
                <w:lang w:eastAsia="zh-CN"/>
              </w:rPr>
            </w:pPr>
            <w:r>
              <w:rPr>
                <w:rFonts w:hint="eastAsia" w:ascii="宋体" w:hAnsi="宋体" w:cs="宋体"/>
                <w:b/>
                <w:bCs/>
                <w:kern w:val="0"/>
                <w:sz w:val="20"/>
                <w:lang w:eastAsia="zh-CN"/>
              </w:rPr>
              <w:t>投入资金</w:t>
            </w:r>
          </w:p>
        </w:tc>
        <w:tc>
          <w:tcPr>
            <w:tcW w:w="1277" w:type="dxa"/>
            <w:vMerge w:val="continue"/>
            <w:tcBorders>
              <w:tl2br w:val="nil"/>
              <w:tr2bl w:val="nil"/>
            </w:tcBorders>
            <w:vAlign w:val="center"/>
          </w:tcPr>
          <w:p>
            <w:pPr>
              <w:widowControl/>
              <w:jc w:val="center"/>
              <w:rPr>
                <w:rFonts w:hint="eastAsia"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bidi="ar"/>
              </w:rPr>
              <w:t>城镇新增就业</w:t>
            </w:r>
          </w:p>
        </w:tc>
        <w:tc>
          <w:tcPr>
            <w:tcW w:w="4096"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 xml:space="preserve">     2.1万人</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72.74%</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626.19万元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已完成15275人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86" w:type="dxa"/>
            <w:vMerge w:val="restart"/>
            <w:tcBorders>
              <w:tl2br w:val="nil"/>
              <w:tr2bl w:val="nil"/>
            </w:tcBorders>
            <w:vAlign w:val="center"/>
          </w:tcPr>
          <w:p>
            <w:pPr>
              <w:widowControl/>
              <w:jc w:val="center"/>
              <w:textAlignment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自然村通水泥（沥青）路</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kern w:val="0"/>
                <w:sz w:val="22"/>
                <w:szCs w:val="22"/>
                <w:lang w:val="en-US" w:eastAsia="zh-CN" w:bidi="ar"/>
              </w:rPr>
              <w:t xml:space="preserve">   1200</w:t>
            </w:r>
            <w:r>
              <w:rPr>
                <w:rFonts w:hint="eastAsia" w:ascii="宋体" w:hAnsi="宋体" w:eastAsia="宋体" w:cs="宋体"/>
                <w:color w:val="000000"/>
                <w:kern w:val="0"/>
                <w:sz w:val="22"/>
                <w:szCs w:val="22"/>
                <w:lang w:eastAsia="zh-CN" w:bidi="ar"/>
              </w:rPr>
              <w:t>公里</w:t>
            </w:r>
          </w:p>
        </w:tc>
        <w:tc>
          <w:tcPr>
            <w:tcW w:w="1303" w:type="dxa"/>
            <w:tcBorders>
              <w:tl2br w:val="nil"/>
              <w:tr2bl w:val="nil"/>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47.8%</w:t>
            </w:r>
          </w:p>
        </w:tc>
        <w:tc>
          <w:tcPr>
            <w:tcW w:w="1303" w:type="dxa"/>
            <w:tcBorders>
              <w:tl2br w:val="nil"/>
              <w:tr2bl w:val="nil"/>
            </w:tcBorders>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25890.215万元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eastAsia="zh-CN"/>
              </w:rPr>
              <w:t>已完成</w:t>
            </w:r>
            <w:r>
              <w:rPr>
                <w:rFonts w:hint="eastAsia" w:ascii="宋体" w:hAnsi="宋体" w:eastAsia="宋体" w:cs="宋体"/>
                <w:color w:val="000000"/>
                <w:kern w:val="0"/>
                <w:sz w:val="22"/>
                <w:szCs w:val="22"/>
                <w:lang w:val="en-US" w:eastAsia="zh-CN"/>
              </w:rPr>
              <w:t>573.213公里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6" w:type="dxa"/>
            <w:vMerge w:val="continue"/>
            <w:tcBorders>
              <w:tl2br w:val="nil"/>
              <w:tr2bl w:val="nil"/>
            </w:tcBorders>
            <w:vAlign w:val="center"/>
          </w:tcPr>
          <w:p>
            <w:pPr>
              <w:widowControl/>
              <w:jc w:val="center"/>
              <w:textAlignment w:val="center"/>
              <w:rPr>
                <w:rFonts w:hint="eastAsia" w:ascii="宋体" w:hAnsi="宋体" w:eastAsia="宋体" w:cs="宋体"/>
                <w:kern w:val="0"/>
                <w:sz w:val="22"/>
                <w:szCs w:val="22"/>
                <w:lang w:val="en-US" w:eastAsia="zh-CN"/>
              </w:rPr>
            </w:pP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提质改造农村公路</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kern w:val="0"/>
                <w:sz w:val="22"/>
                <w:szCs w:val="22"/>
                <w:lang w:val="en-US" w:eastAsia="zh-CN" w:bidi="ar"/>
              </w:rPr>
              <w:t xml:space="preserve">    255</w:t>
            </w:r>
            <w:r>
              <w:rPr>
                <w:rFonts w:hint="eastAsia" w:ascii="宋体" w:hAnsi="宋体" w:eastAsia="宋体" w:cs="宋体"/>
                <w:color w:val="000000"/>
                <w:kern w:val="0"/>
                <w:sz w:val="22"/>
                <w:szCs w:val="22"/>
                <w:lang w:eastAsia="zh-CN" w:bidi="ar"/>
              </w:rPr>
              <w:t>公里</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64.2%</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5150.459万元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已完成</w:t>
            </w:r>
            <w:r>
              <w:rPr>
                <w:rFonts w:hint="eastAsia" w:ascii="宋体" w:hAnsi="宋体" w:eastAsia="宋体" w:cs="宋体"/>
                <w:kern w:val="0"/>
                <w:sz w:val="22"/>
                <w:szCs w:val="22"/>
                <w:lang w:val="en-US" w:eastAsia="zh-CN"/>
              </w:rPr>
              <w:t>163.784公里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val="en-US" w:eastAsia="zh-CN"/>
              </w:rPr>
            </w:pPr>
            <w:r>
              <w:rPr>
                <w:rFonts w:hint="eastAsia" w:ascii="宋体" w:hAnsi="宋体" w:eastAsia="宋体" w:cs="宋体"/>
                <w:color w:val="000000"/>
                <w:kern w:val="0"/>
                <w:sz w:val="22"/>
                <w:szCs w:val="22"/>
                <w:lang w:val="en-US" w:eastAsia="zh-CN" w:bidi="ar"/>
              </w:rPr>
              <w:t>3</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县级饮用水水源地环境整治</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 xml:space="preserve"> 9</w:t>
            </w:r>
            <w:r>
              <w:rPr>
                <w:rFonts w:hint="eastAsia" w:ascii="宋体" w:hAnsi="宋体" w:eastAsia="宋体" w:cs="宋体"/>
                <w:kern w:val="0"/>
                <w:sz w:val="22"/>
                <w:szCs w:val="22"/>
                <w:lang w:eastAsia="zh-CN"/>
              </w:rPr>
              <w:t>个</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88.9%</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752.0718万元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已完成</w:t>
            </w:r>
            <w:r>
              <w:rPr>
                <w:rFonts w:hint="eastAsia" w:ascii="宋体" w:hAnsi="宋体" w:eastAsia="宋体" w:cs="宋体"/>
                <w:kern w:val="0"/>
                <w:sz w:val="22"/>
                <w:szCs w:val="22"/>
                <w:lang w:val="en-US" w:eastAsia="zh-CN"/>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kern w:val="0"/>
                <w:sz w:val="22"/>
                <w:szCs w:val="22"/>
                <w:lang w:val="en-US" w:eastAsia="zh-CN" w:bidi="ar"/>
              </w:rPr>
              <w:t>4</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农村饮水安全巩固提升</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6.43万</w:t>
            </w:r>
            <w:r>
              <w:rPr>
                <w:rFonts w:hint="eastAsia" w:ascii="宋体" w:hAnsi="宋体" w:eastAsia="宋体" w:cs="宋体"/>
                <w:color w:val="000000"/>
                <w:kern w:val="0"/>
                <w:sz w:val="22"/>
                <w:szCs w:val="22"/>
                <w:lang w:bidi="ar"/>
              </w:rPr>
              <w:t>人</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71.81%</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11400.44万元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已解决</w:t>
            </w:r>
            <w:r>
              <w:rPr>
                <w:rFonts w:hint="eastAsia" w:ascii="宋体" w:hAnsi="宋体" w:eastAsia="宋体" w:cs="宋体"/>
                <w:kern w:val="0"/>
                <w:sz w:val="22"/>
                <w:szCs w:val="22"/>
                <w:lang w:val="en-US" w:eastAsia="zh-CN"/>
              </w:rPr>
              <w:t>4.6177万人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5</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改造和完善行政村10千伏及以下配电网</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完成投资3100</w:t>
            </w:r>
            <w:r>
              <w:rPr>
                <w:rFonts w:hint="eastAsia" w:ascii="宋体" w:hAnsi="宋体" w:eastAsia="宋体" w:cs="宋体"/>
                <w:kern w:val="0"/>
                <w:sz w:val="22"/>
                <w:szCs w:val="22"/>
                <w:lang w:eastAsia="zh-CN"/>
              </w:rPr>
              <w:t>万元</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46%</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1440.5万元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目前在施工中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486" w:type="dxa"/>
            <w:vMerge w:val="restart"/>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6</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农村危房改造</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5600</w:t>
            </w:r>
            <w:r>
              <w:rPr>
                <w:rFonts w:hint="eastAsia" w:ascii="宋体" w:hAnsi="宋体" w:eastAsia="宋体" w:cs="宋体"/>
                <w:color w:val="000000"/>
                <w:kern w:val="0"/>
                <w:sz w:val="22"/>
                <w:szCs w:val="22"/>
                <w:lang w:eastAsia="zh-CN" w:bidi="ar"/>
              </w:rPr>
              <w:t>户</w:t>
            </w:r>
          </w:p>
        </w:tc>
        <w:tc>
          <w:tcPr>
            <w:tcW w:w="1303" w:type="dxa"/>
            <w:tcBorders>
              <w:tl2br w:val="nil"/>
              <w:tr2bl w:val="nil"/>
            </w:tcBorders>
            <w:vAlign w:val="center"/>
          </w:tcPr>
          <w:p>
            <w:pPr>
              <w:widowControl/>
              <w:jc w:val="center"/>
              <w:rPr>
                <w:rFonts w:hint="eastAsia" w:ascii="宋体" w:hAnsi="宋体" w:eastAsia="宋体" w:cs="宋体"/>
                <w:spacing w:val="-20"/>
                <w:kern w:val="0"/>
                <w:sz w:val="22"/>
                <w:szCs w:val="22"/>
                <w:lang w:val="en-US" w:eastAsia="zh-CN"/>
              </w:rPr>
            </w:pPr>
            <w:r>
              <w:rPr>
                <w:rFonts w:hint="eastAsia" w:ascii="宋体" w:hAnsi="宋体" w:eastAsia="宋体" w:cs="宋体"/>
                <w:spacing w:val="-20"/>
                <w:kern w:val="0"/>
                <w:sz w:val="22"/>
                <w:szCs w:val="22"/>
                <w:lang w:val="en-US" w:eastAsia="zh-CN"/>
              </w:rPr>
              <w:t>82%</w:t>
            </w:r>
          </w:p>
        </w:tc>
        <w:tc>
          <w:tcPr>
            <w:tcW w:w="1303" w:type="dxa"/>
            <w:tcBorders>
              <w:tl2br w:val="nil"/>
              <w:tr2bl w:val="nil"/>
            </w:tcBorders>
            <w:vAlign w:val="center"/>
          </w:tcPr>
          <w:p>
            <w:pPr>
              <w:widowControl/>
              <w:jc w:val="center"/>
              <w:rPr>
                <w:rFonts w:hint="eastAsia" w:ascii="宋体" w:hAnsi="宋体" w:eastAsia="宋体" w:cs="宋体"/>
                <w:spacing w:val="-20"/>
                <w:kern w:val="0"/>
                <w:sz w:val="22"/>
                <w:szCs w:val="22"/>
                <w:lang w:val="en-US" w:eastAsia="zh-CN"/>
              </w:rPr>
            </w:pPr>
            <w:r>
              <w:rPr>
                <w:rFonts w:hint="eastAsia" w:ascii="宋体" w:hAnsi="宋体" w:eastAsia="宋体" w:cs="宋体"/>
                <w:spacing w:val="-20"/>
                <w:kern w:val="0"/>
                <w:sz w:val="22"/>
                <w:szCs w:val="22"/>
                <w:lang w:val="en-US" w:eastAsia="zh-CN"/>
              </w:rPr>
              <w:t>13347万元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spacing w:val="-20"/>
                <w:kern w:val="0"/>
                <w:sz w:val="22"/>
                <w:szCs w:val="22"/>
                <w:lang w:val="en-US" w:eastAsia="zh-CN"/>
              </w:rPr>
            </w:pPr>
            <w:r>
              <w:rPr>
                <w:rFonts w:hint="eastAsia" w:ascii="宋体" w:hAnsi="宋体" w:eastAsia="宋体" w:cs="宋体"/>
                <w:spacing w:val="-20"/>
                <w:kern w:val="0"/>
                <w:sz w:val="22"/>
                <w:szCs w:val="22"/>
                <w:lang w:val="en-US" w:eastAsia="zh-CN"/>
              </w:rPr>
              <w:t>已竣工4597户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486" w:type="dxa"/>
            <w:vMerge w:val="continue"/>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城镇棚户区改造</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19162</w:t>
            </w:r>
            <w:r>
              <w:rPr>
                <w:rFonts w:hint="eastAsia" w:ascii="宋体" w:hAnsi="宋体" w:eastAsia="宋体" w:cs="宋体"/>
                <w:color w:val="000000"/>
                <w:kern w:val="0"/>
                <w:sz w:val="22"/>
                <w:szCs w:val="22"/>
                <w:lang w:eastAsia="zh-CN" w:bidi="ar"/>
              </w:rPr>
              <w:t>套</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62.93%</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119459万元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已开工12059户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7</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城镇黑臭水体整治</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5</w:t>
            </w:r>
            <w:r>
              <w:rPr>
                <w:rFonts w:hint="eastAsia" w:ascii="宋体" w:hAnsi="宋体" w:eastAsia="宋体" w:cs="宋体"/>
                <w:color w:val="000000"/>
                <w:kern w:val="0"/>
                <w:sz w:val="22"/>
                <w:szCs w:val="22"/>
                <w:lang w:bidi="ar"/>
              </w:rPr>
              <w:t>个</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49.6%</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6185万元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已竣工1个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trPr>
        <w:tc>
          <w:tcPr>
            <w:tcW w:w="486" w:type="dxa"/>
            <w:tcBorders>
              <w:tl2br w:val="nil"/>
              <w:tr2bl w:val="nil"/>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8</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基本消除义务教育超大班额</w:t>
            </w:r>
          </w:p>
        </w:tc>
        <w:tc>
          <w:tcPr>
            <w:tcW w:w="4096" w:type="dxa"/>
            <w:tcBorders>
              <w:tl2br w:val="nil"/>
              <w:tr2bl w:val="nil"/>
            </w:tcBorders>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  700个</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50.86%</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36560万元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已消除356个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486" w:type="dxa"/>
            <w:tcBorders>
              <w:tl2br w:val="nil"/>
              <w:tr2bl w:val="nil"/>
            </w:tcBorders>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9</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农村适龄妇女“两癌”免费检查</w:t>
            </w:r>
          </w:p>
        </w:tc>
        <w:tc>
          <w:tcPr>
            <w:tcW w:w="4096" w:type="dxa"/>
            <w:tcBorders>
              <w:tl2br w:val="nil"/>
              <w:tr2bl w:val="nil"/>
            </w:tcBorders>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 xml:space="preserve">  43640人</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93.69%</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450.452元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已完成</w:t>
            </w:r>
            <w:r>
              <w:rPr>
                <w:rFonts w:hint="eastAsia" w:ascii="宋体" w:hAnsi="宋体" w:eastAsia="宋体" w:cs="宋体"/>
                <w:kern w:val="0"/>
                <w:sz w:val="22"/>
                <w:szCs w:val="22"/>
                <w:lang w:val="en-US" w:eastAsia="zh-CN"/>
              </w:rPr>
              <w:t>40889人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exac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10</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孕产妇免费产前筛查</w:t>
            </w:r>
          </w:p>
        </w:tc>
        <w:tc>
          <w:tcPr>
            <w:tcW w:w="4096" w:type="dxa"/>
            <w:tcBorders>
              <w:tl2br w:val="nil"/>
              <w:tr2bl w:val="nil"/>
            </w:tcBorders>
            <w:vAlign w:val="center"/>
          </w:tcPr>
          <w:p>
            <w:pPr>
              <w:widowControl/>
              <w:jc w:val="center"/>
              <w:textAlignment w:val="center"/>
              <w:rPr>
                <w:rFonts w:hint="eastAsia" w:ascii="宋体" w:hAnsi="宋体" w:eastAsia="宋体" w:cs="宋体"/>
                <w:kern w:val="0"/>
                <w:sz w:val="22"/>
                <w:szCs w:val="22"/>
              </w:rPr>
            </w:pPr>
            <w:r>
              <w:rPr>
                <w:rFonts w:hint="eastAsia" w:ascii="宋体" w:hAnsi="宋体" w:eastAsia="宋体" w:cs="宋体"/>
                <w:color w:val="000000"/>
                <w:kern w:val="0"/>
                <w:sz w:val="22"/>
                <w:szCs w:val="22"/>
                <w:lang w:val="en-US" w:eastAsia="zh-CN" w:bidi="ar"/>
              </w:rPr>
              <w:t xml:space="preserve"> 20065人</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54.64%</w:t>
            </w:r>
          </w:p>
        </w:tc>
        <w:tc>
          <w:tcPr>
            <w:tcW w:w="1303" w:type="dxa"/>
            <w:tcBorders>
              <w:tl2br w:val="nil"/>
              <w:tr2bl w:val="nil"/>
            </w:tcBorders>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219.28万元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eastAsia="zh-CN"/>
              </w:rPr>
              <w:t>已完成</w:t>
            </w:r>
            <w:r>
              <w:rPr>
                <w:rFonts w:hint="eastAsia" w:ascii="宋体" w:hAnsi="宋体" w:eastAsia="宋体" w:cs="宋体"/>
                <w:kern w:val="0"/>
                <w:sz w:val="22"/>
                <w:szCs w:val="22"/>
                <w:lang w:val="en-US" w:eastAsia="zh-CN"/>
              </w:rPr>
              <w:t>10964人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exac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11</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困难残疾人生活补贴和重度残疾人护理补贴发放标准提高到每人每月55元</w:t>
            </w:r>
          </w:p>
        </w:tc>
        <w:tc>
          <w:tcPr>
            <w:tcW w:w="4096"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lang w:eastAsia="zh-CN"/>
              </w:rPr>
              <w:t>不低于</w:t>
            </w:r>
            <w:r>
              <w:rPr>
                <w:rFonts w:hint="eastAsia" w:ascii="宋体" w:hAnsi="宋体" w:eastAsia="宋体" w:cs="宋体"/>
                <w:sz w:val="22"/>
                <w:szCs w:val="22"/>
                <w:lang w:val="en-US" w:eastAsia="zh-CN"/>
              </w:rPr>
              <w:t>55元和55元</w:t>
            </w:r>
          </w:p>
        </w:tc>
        <w:tc>
          <w:tcPr>
            <w:tcW w:w="1303"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lang w:val="en-US" w:eastAsia="zh-CN"/>
              </w:rPr>
              <w:t>100%</w:t>
            </w:r>
          </w:p>
        </w:tc>
        <w:tc>
          <w:tcPr>
            <w:tcW w:w="1303"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lang w:val="en-US" w:eastAsia="zh-CN"/>
              </w:rPr>
              <w:t>230</w:t>
            </w:r>
            <w:bookmarkStart w:id="0" w:name="_GoBack"/>
            <w:bookmarkEnd w:id="0"/>
            <w:r>
              <w:rPr>
                <w:rFonts w:hint="eastAsia" w:ascii="宋体" w:hAnsi="宋体" w:eastAsia="宋体" w:cs="宋体"/>
                <w:sz w:val="22"/>
                <w:szCs w:val="22"/>
                <w:lang w:val="en-US" w:eastAsia="zh-CN"/>
              </w:rPr>
              <w:t>2.4605万元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1-6月已发放到位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exact"/>
        </w:trPr>
        <w:tc>
          <w:tcPr>
            <w:tcW w:w="486" w:type="dxa"/>
            <w:tcBorders>
              <w:tl2br w:val="nil"/>
              <w:tr2bl w:val="nil"/>
            </w:tcBorders>
            <w:vAlign w:val="center"/>
          </w:tcPr>
          <w:p>
            <w:pPr>
              <w:widowControl/>
              <w:jc w:val="center"/>
              <w:textAlignment w:val="center"/>
              <w:rPr>
                <w:rFonts w:hint="eastAsia" w:ascii="宋体" w:hAnsi="宋体" w:eastAsia="宋体" w:cs="宋体"/>
                <w:kern w:val="0"/>
                <w:sz w:val="22"/>
                <w:szCs w:val="22"/>
                <w:lang w:eastAsia="zh-CN"/>
              </w:rPr>
            </w:pPr>
            <w:r>
              <w:rPr>
                <w:rFonts w:hint="eastAsia" w:ascii="宋体" w:hAnsi="宋体" w:eastAsia="宋体" w:cs="宋体"/>
                <w:color w:val="000000"/>
                <w:sz w:val="22"/>
                <w:szCs w:val="22"/>
                <w:lang w:val="en-US" w:eastAsia="zh-CN"/>
              </w:rPr>
              <w:t>12</w:t>
            </w:r>
          </w:p>
        </w:tc>
        <w:tc>
          <w:tcPr>
            <w:tcW w:w="222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提高城乡低保标准和救助水平</w:t>
            </w:r>
          </w:p>
        </w:tc>
        <w:tc>
          <w:tcPr>
            <w:tcW w:w="4096"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rPr>
              <w:t>城乡低保标准不低于430元/月和3200元/年，城乡低保月人均救助水平不低于320元和170元。</w:t>
            </w:r>
          </w:p>
        </w:tc>
        <w:tc>
          <w:tcPr>
            <w:tcW w:w="1303"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lang w:val="en-US" w:eastAsia="zh-CN"/>
              </w:rPr>
              <w:t>81.35</w:t>
            </w:r>
            <w:r>
              <w:rPr>
                <w:rFonts w:hint="eastAsia" w:ascii="宋体" w:hAnsi="宋体" w:eastAsia="宋体" w:cs="宋体"/>
                <w:sz w:val="22"/>
                <w:szCs w:val="22"/>
              </w:rPr>
              <w:t>%</w:t>
            </w:r>
          </w:p>
        </w:tc>
        <w:tc>
          <w:tcPr>
            <w:tcW w:w="1303" w:type="dxa"/>
            <w:tcBorders>
              <w:tl2br w:val="nil"/>
              <w:tr2bl w:val="nil"/>
            </w:tcBorders>
            <w:vAlign w:val="center"/>
          </w:tcPr>
          <w:p>
            <w:pPr>
              <w:jc w:val="center"/>
              <w:rPr>
                <w:rFonts w:hint="eastAsia" w:ascii="宋体" w:hAnsi="宋体" w:eastAsia="宋体" w:cs="宋体"/>
                <w:color w:val="000000"/>
                <w:kern w:val="0"/>
                <w:sz w:val="22"/>
                <w:szCs w:val="22"/>
                <w:lang w:val="en-US" w:eastAsia="zh-CN" w:bidi="ar"/>
              </w:rPr>
            </w:pPr>
            <w:r>
              <w:rPr>
                <w:rFonts w:hint="eastAsia" w:ascii="宋体" w:hAnsi="宋体" w:eastAsia="宋体" w:cs="宋体"/>
                <w:sz w:val="22"/>
                <w:szCs w:val="22"/>
                <w:lang w:val="en-US" w:eastAsia="zh-CN"/>
              </w:rPr>
              <w:t>23258.6</w:t>
            </w:r>
            <w:r>
              <w:rPr>
                <w:rFonts w:hint="eastAsia" w:ascii="宋体" w:hAnsi="宋体" w:eastAsia="宋体" w:cs="宋体"/>
                <w:sz w:val="22"/>
                <w:szCs w:val="22"/>
              </w:rPr>
              <w:t>万元</w:t>
            </w:r>
          </w:p>
        </w:tc>
        <w:tc>
          <w:tcPr>
            <w:tcW w:w="127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已出台提标文件，部分县市已发放到位</w:t>
            </w:r>
          </w:p>
        </w:tc>
      </w:tr>
    </w:tbl>
    <w:p/>
    <w:sectPr>
      <w:pgSz w:w="11906" w:h="16838"/>
      <w:pgMar w:top="1440" w:right="148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584B"/>
    <w:rsid w:val="01F25FDD"/>
    <w:rsid w:val="03F72E38"/>
    <w:rsid w:val="07D7113E"/>
    <w:rsid w:val="0C534440"/>
    <w:rsid w:val="0D9502DE"/>
    <w:rsid w:val="0F167CF4"/>
    <w:rsid w:val="11716160"/>
    <w:rsid w:val="12543569"/>
    <w:rsid w:val="136C56C5"/>
    <w:rsid w:val="18BA483D"/>
    <w:rsid w:val="1C2A5FEE"/>
    <w:rsid w:val="1FF45241"/>
    <w:rsid w:val="202E7B4B"/>
    <w:rsid w:val="26AB6AD2"/>
    <w:rsid w:val="29583C49"/>
    <w:rsid w:val="29D74DA6"/>
    <w:rsid w:val="2C276638"/>
    <w:rsid w:val="2E940D92"/>
    <w:rsid w:val="2FE46EB5"/>
    <w:rsid w:val="30B87E3B"/>
    <w:rsid w:val="31A6131A"/>
    <w:rsid w:val="340914AB"/>
    <w:rsid w:val="358D12DF"/>
    <w:rsid w:val="36DD1781"/>
    <w:rsid w:val="37B34B74"/>
    <w:rsid w:val="3B820B67"/>
    <w:rsid w:val="3DBF0CFB"/>
    <w:rsid w:val="3F2B1C19"/>
    <w:rsid w:val="3FBC044C"/>
    <w:rsid w:val="41815FD1"/>
    <w:rsid w:val="452F32AA"/>
    <w:rsid w:val="4A1F575E"/>
    <w:rsid w:val="4A2060E5"/>
    <w:rsid w:val="4BB06EC8"/>
    <w:rsid w:val="4E021E48"/>
    <w:rsid w:val="52B5218D"/>
    <w:rsid w:val="53D81839"/>
    <w:rsid w:val="53FA6CD5"/>
    <w:rsid w:val="5BA630CB"/>
    <w:rsid w:val="617200A8"/>
    <w:rsid w:val="65A87A03"/>
    <w:rsid w:val="662A4969"/>
    <w:rsid w:val="671913FB"/>
    <w:rsid w:val="67CD0282"/>
    <w:rsid w:val="68117C0D"/>
    <w:rsid w:val="68884E0A"/>
    <w:rsid w:val="68C24866"/>
    <w:rsid w:val="6A46111A"/>
    <w:rsid w:val="6AB354B3"/>
    <w:rsid w:val="6AEE7E61"/>
    <w:rsid w:val="6FC7319F"/>
    <w:rsid w:val="731566A8"/>
    <w:rsid w:val="75B73B48"/>
    <w:rsid w:val="75BF3D5A"/>
    <w:rsid w:val="76783EC0"/>
    <w:rsid w:val="7F7C26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君子一言</cp:lastModifiedBy>
  <cp:lastPrinted>2018-06-28T02:59:38Z</cp:lastPrinted>
  <dcterms:modified xsi:type="dcterms:W3CDTF">2018-06-28T03:03:46Z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