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b/>
          <w:bCs w:val="0"/>
          <w:sz w:val="32"/>
          <w:szCs w:val="32"/>
          <w:lang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湘西州专业技术人才管理信息系统操作说明</w:t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一、登录专技系统</w:t>
      </w:r>
    </w:p>
    <w:p>
      <w:pPr>
        <w:bidi w:val="0"/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登录网址：</w:t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"https://xxz.bftrs.com/" </w:instrText>
      </w:r>
      <w:r>
        <w:rPr>
          <w:rFonts w:hint="eastAsia"/>
          <w:lang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 w:val="0"/>
          <w:szCs w:val="32"/>
          <w:lang w:eastAsia="zh-CN"/>
        </w:rPr>
        <w:t>https://xxz.bftrs.com/</w:t>
      </w:r>
      <w:r>
        <w:rPr>
          <w:rFonts w:hint="eastAsia"/>
          <w:lang w:eastAsia="zh-CN"/>
        </w:rPr>
        <w:fldChar w:fldCharType="end"/>
      </w:r>
      <w:r>
        <w:rPr>
          <w:rFonts w:hint="eastAsia"/>
          <w:lang w:eastAsia="zh-CN"/>
        </w:rPr>
        <w:t>，输入单位账号、密码，选择：专业技术人员管理信息系统。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二、同步事管系统人员数据及数据完善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（一）添加人员信息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1、人员信息同步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如本单位《百菲特事业单位网络管理信息系统》人员信息完善，可直接同步。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操作步骤：人员管理-人员总览-更多-同步事业单位人员。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71135" cy="1838325"/>
            <wp:effectExtent l="0" t="0" r="571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2、人员信息新增</w:t>
      </w:r>
    </w:p>
    <w:p>
      <w:pPr>
        <w:ind w:firstLine="560" w:firstLineChars="200"/>
      </w:pPr>
      <w:r>
        <w:rPr>
          <w:rFonts w:hint="eastAsia"/>
          <w:szCs w:val="28"/>
        </w:rPr>
        <w:t>若</w:t>
      </w:r>
      <w:r>
        <w:rPr>
          <w:rFonts w:hint="eastAsia"/>
          <w:szCs w:val="28"/>
          <w:lang w:val="en-US" w:eastAsia="zh-CN"/>
        </w:rPr>
        <w:t>无</w:t>
      </w:r>
      <w:r>
        <w:rPr>
          <w:rFonts w:hint="eastAsia"/>
          <w:szCs w:val="28"/>
          <w:lang w:eastAsia="zh-CN"/>
        </w:rPr>
        <w:t>《</w:t>
      </w:r>
      <w:r>
        <w:rPr>
          <w:rFonts w:hint="eastAsia"/>
          <w:szCs w:val="28"/>
          <w:lang w:val="en-US" w:eastAsia="zh-CN"/>
        </w:rPr>
        <w:t>百菲特事业单位网络管理信息系统</w:t>
      </w:r>
      <w:r>
        <w:rPr>
          <w:rFonts w:hint="eastAsia"/>
          <w:szCs w:val="28"/>
          <w:lang w:eastAsia="zh-CN"/>
        </w:rPr>
        <w:t>》</w:t>
      </w:r>
      <w:r>
        <w:rPr>
          <w:rFonts w:hint="eastAsia"/>
          <w:szCs w:val="28"/>
          <w:lang w:val="en-US" w:eastAsia="zh-CN"/>
        </w:rPr>
        <w:t>数据</w:t>
      </w:r>
      <w:r>
        <w:rPr>
          <w:rFonts w:hint="eastAsia"/>
          <w:szCs w:val="28"/>
        </w:rPr>
        <w:t>同步或需要添加编外人员等情况可以新建人员</w:t>
      </w:r>
      <w:r>
        <w:rPr>
          <w:rFonts w:hint="eastAsia"/>
          <w:szCs w:val="28"/>
          <w:lang w:eastAsia="zh-CN"/>
        </w:rPr>
        <w:t>。</w:t>
      </w:r>
      <w:r>
        <w:drawing>
          <wp:inline distT="0" distB="0" distL="114300" distR="114300">
            <wp:extent cx="5265420" cy="2530475"/>
            <wp:effectExtent l="0" t="0" r="1143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3、人员信息导入</w:t>
      </w:r>
    </w:p>
    <w:p>
      <w:pPr>
        <w:ind w:firstLine="560" w:firstLineChars="200"/>
        <w:rPr>
          <w:rFonts w:hint="eastAsia"/>
          <w:szCs w:val="28"/>
        </w:rPr>
      </w:pPr>
      <w:r>
        <w:rPr>
          <w:rFonts w:hint="eastAsia"/>
          <w:szCs w:val="28"/>
        </w:rPr>
        <w:t>如果需要添加的人员比较多，可以下载模板导入，下载好模板填写信息，然后将文件导入后点击保存。</w:t>
      </w:r>
    </w:p>
    <w:p>
      <w:r>
        <w:drawing>
          <wp:inline distT="0" distB="0" distL="114300" distR="114300">
            <wp:extent cx="5271135" cy="2590800"/>
            <wp:effectExtent l="0" t="0" r="571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5420" cy="2592070"/>
            <wp:effectExtent l="0" t="0" r="11430" b="1778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 w:ascii="Arial" w:hAnsi="Arial"/>
          <w:b/>
          <w:lang w:val="en-US" w:eastAsia="zh-CN"/>
        </w:rPr>
      </w:pPr>
      <w:r>
        <w:rPr>
          <w:rFonts w:hint="eastAsia" w:ascii="Arial" w:hAnsi="Arial"/>
          <w:b/>
          <w:lang w:val="en-US" w:eastAsia="zh-CN"/>
        </w:rPr>
        <w:t>（二）数据完善</w:t>
      </w:r>
    </w:p>
    <w:p>
      <w:pPr>
        <w:ind w:firstLine="560" w:firstLineChars="200"/>
        <w:rPr>
          <w:rFonts w:hint="eastAsia"/>
          <w:szCs w:val="28"/>
          <w:lang w:val="en-US" w:eastAsia="zh-CN"/>
        </w:rPr>
      </w:pPr>
      <w:r>
        <w:rPr>
          <w:rFonts w:hint="eastAsia"/>
          <w:szCs w:val="28"/>
          <w:lang w:val="en-US" w:eastAsia="zh-CN"/>
        </w:rPr>
        <w:t>同步后，核准单位人员各项信息。如单位人员不在系统内、录入人数信息较多或人员情况掌握不准确，这类情况可建立单位子账号给单位人员进行填报。</w:t>
      </w:r>
    </w:p>
    <w:p>
      <w:pPr>
        <w:ind w:firstLine="560" w:firstLineChars="200"/>
        <w:rPr>
          <w:rFonts w:hint="eastAsia"/>
          <w:szCs w:val="28"/>
          <w:lang w:val="en-US" w:eastAsia="zh-CN"/>
        </w:rPr>
      </w:pPr>
      <w:r>
        <w:rPr>
          <w:rFonts w:hint="eastAsia"/>
          <w:szCs w:val="28"/>
          <w:lang w:val="en-US" w:eastAsia="zh-CN"/>
        </w:rPr>
        <w:t>操作步骤：系统设置-账号管理-单位子账号管理-新建账号或批量新建。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新宋体" w:hAnsi="新宋体" w:eastAsia="新宋体" w:cs="新宋体"/>
          <w:b w:val="0"/>
          <w:bCs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建立后分发单位子账号给个人，登录系统填报-保存-提交审批。</w:t>
      </w:r>
      <w:r>
        <w:rPr>
          <w:rFonts w:hint="eastAsia" w:ascii="新宋体" w:hAnsi="新宋体" w:eastAsia="新宋体" w:cs="新宋体"/>
          <w:b w:val="0"/>
          <w:bCs/>
          <w:sz w:val="30"/>
          <w:szCs w:val="30"/>
        </w:rPr>
        <w:drawing>
          <wp:inline distT="0" distB="0" distL="114300" distR="114300">
            <wp:extent cx="5300345" cy="2565400"/>
            <wp:effectExtent l="0" t="0" r="1460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新宋体" w:hAnsi="新宋体" w:eastAsia="新宋体" w:cs="新宋体"/>
          <w:b w:val="0"/>
          <w:bCs/>
          <w:sz w:val="30"/>
          <w:szCs w:val="30"/>
        </w:rPr>
      </w:pPr>
      <w:r>
        <w:rPr>
          <w:rFonts w:hint="eastAsia" w:ascii="新宋体" w:hAnsi="新宋体" w:eastAsia="新宋体" w:cs="新宋体"/>
          <w:b w:val="0"/>
          <w:bCs/>
          <w:sz w:val="30"/>
          <w:szCs w:val="30"/>
        </w:rPr>
        <w:drawing>
          <wp:inline distT="0" distB="0" distL="114300" distR="114300">
            <wp:extent cx="5324475" cy="2613025"/>
            <wp:effectExtent l="0" t="0" r="9525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三、职数申报</w:t>
      </w:r>
    </w:p>
    <w:p>
      <w:pPr>
        <w:pStyle w:val="5"/>
        <w:bidi w:val="0"/>
        <w:rPr>
          <w:rFonts w:hint="eastAsia" w:ascii="新宋体" w:hAnsi="新宋体" w:eastAsia="新宋体" w:cs="新宋体"/>
          <w:b/>
          <w:bCs w:val="0"/>
          <w:szCs w:val="32"/>
          <w:lang w:val="en-US" w:eastAsia="zh-CN"/>
        </w:rPr>
      </w:pPr>
      <w:r>
        <w:rPr>
          <w:rFonts w:hint="eastAsia"/>
          <w:lang w:val="en-US" w:eastAsia="zh-CN"/>
        </w:rPr>
        <w:t>（一）系统申报程序及要求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用人单位申报-主管部门审核汇总-人社部门核准审批。职数申报需</w:t>
      </w:r>
      <w:r>
        <w:rPr>
          <w:rFonts w:hint="eastAsia"/>
          <w:color w:val="0000FF"/>
          <w:lang w:val="en-US" w:eastAsia="zh-CN"/>
        </w:rPr>
        <w:t>纸质盖章件</w:t>
      </w:r>
      <w:r>
        <w:rPr>
          <w:rFonts w:hint="eastAsia"/>
          <w:lang w:val="en-US" w:eastAsia="zh-CN"/>
        </w:rPr>
        <w:t>和</w:t>
      </w:r>
      <w:r>
        <w:rPr>
          <w:rFonts w:hint="eastAsia"/>
          <w:color w:val="0000FF"/>
          <w:lang w:val="en-US" w:eastAsia="zh-CN"/>
        </w:rPr>
        <w:t>系统申报</w:t>
      </w:r>
      <w:r>
        <w:rPr>
          <w:rFonts w:hint="eastAsia"/>
          <w:lang w:val="en-US" w:eastAsia="zh-CN"/>
        </w:rPr>
        <w:t>同步进行。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（二）操作步骤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业务异动-业务办理-评审职数申报-评审职数申报-新建职数申报-正常申报或特殊申报。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若单位《百菲特事业单位网络管理信息系统》中更新了岗位设置数据，在《专技系统》中职数不是最新情况可点击“获取事业系统岗位数据”进行更新。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61610" cy="2239010"/>
            <wp:effectExtent l="0" t="0" r="1524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72405" cy="2367280"/>
            <wp:effectExtent l="0" t="0" r="4445" b="1397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1、正常申报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职数申报年度-系列-申报数（正高、副高、中级）</w:t>
      </w:r>
      <w:r>
        <w:rPr>
          <w:rFonts w:hint="eastAsia"/>
          <w:lang w:val="en-US" w:eastAsia="zh-CN"/>
        </w:rPr>
        <w:t>；申报多个系列点击“新增申报职数”-保存。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74310" cy="2232025"/>
            <wp:effectExtent l="0" t="0" r="2540" b="1587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特殊申报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选择特殊申报类别</w:t>
      </w:r>
      <w:r>
        <w:rPr>
          <w:rFonts w:hint="eastAsia"/>
          <w:lang w:val="en-US" w:eastAsia="zh-CN"/>
        </w:rPr>
        <w:t>-职数申报年度-系列-申报数（正高、副高、中级）；申报多个系列点击“新增申报职数”-保存。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72405" cy="2882900"/>
            <wp:effectExtent l="0" t="0" r="4445" b="1270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保存后，</w:t>
      </w:r>
      <w:r>
        <w:rPr>
          <w:rFonts w:hint="eastAsia"/>
          <w:lang w:eastAsia="zh-CN"/>
        </w:rPr>
        <w:t>列表</w:t>
      </w:r>
      <w:r>
        <w:rPr>
          <w:rFonts w:hint="eastAsia"/>
        </w:rPr>
        <w:t>出现</w:t>
      </w:r>
      <w:r>
        <w:rPr>
          <w:rFonts w:hint="eastAsia"/>
          <w:lang w:eastAsia="zh-CN"/>
        </w:rPr>
        <w:t>录入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，勾选</w:t>
      </w:r>
      <w:r>
        <w:rPr>
          <w:rFonts w:hint="eastAsia"/>
          <w:lang w:val="en-US" w:eastAsia="zh-CN"/>
        </w:rPr>
        <w:t>-提交审批。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职数申报信息传至主管部门-用人单位递交职数申报纸质件给主管部门。主管部门审核下属事业单位提交职数申报信息和纸质件，汇总后提交系统信息和纸质件至人社部门核准审批。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64785" cy="2433320"/>
            <wp:effectExtent l="0" t="0" r="1206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四、评审信息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  <w:t>申报</w:t>
      </w:r>
    </w:p>
    <w:p>
      <w:pPr>
        <w:pStyle w:val="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（一）系统申报程序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个人登录账号填报</w:t>
      </w:r>
      <w:r>
        <w:rPr>
          <w:rFonts w:hint="eastAsia"/>
          <w:lang w:val="en-US" w:eastAsia="zh-CN"/>
        </w:rPr>
        <w:t>-用人单位初审-主管部门审核-评委会组建单位汇总。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（二）操作流程</w:t>
      </w:r>
    </w:p>
    <w:p>
      <w:pPr>
        <w:bidi w:val="0"/>
        <w:ind w:firstLine="560" w:firstLineChars="200"/>
        <w:rPr>
          <w:rFonts w:hint="eastAsia" w:ascii="仿宋" w:hAnsi="仿宋" w:eastAsia="仿宋" w:cs="仿宋"/>
          <w:b w:val="0"/>
          <w:bCs/>
          <w:szCs w:val="32"/>
          <w:lang w:val="en-US" w:eastAsia="zh-CN"/>
        </w:rPr>
      </w:pPr>
      <w:r>
        <w:rPr>
          <w:rFonts w:hint="eastAsia"/>
          <w:lang w:val="en-US" w:eastAsia="zh-CN"/>
        </w:rPr>
        <w:t>专技职称管理-专技职称评审申报信息-选择年度-新建-完善信息-保存-提交审批。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65420" cy="2806065"/>
            <wp:effectExtent l="0" t="0" r="1143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textAlignment w:val="auto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69230" cy="3041015"/>
            <wp:effectExtent l="0" t="0" r="762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生成</w:t>
      </w:r>
      <w:r>
        <w:rPr>
          <w:rFonts w:hint="eastAsia"/>
          <w:lang w:eastAsia="zh-CN"/>
        </w:rPr>
        <w:t>评审</w:t>
      </w:r>
      <w:r>
        <w:rPr>
          <w:rFonts w:hint="eastAsia"/>
        </w:rPr>
        <w:t>表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eastAsia"/>
        </w:rPr>
      </w:pPr>
      <w:r>
        <w:rPr>
          <w:rFonts w:hint="eastAsia"/>
          <w:lang w:eastAsia="zh-CN"/>
        </w:rPr>
        <w:t>录入完成后，勾选人员信息</w:t>
      </w:r>
      <w:r>
        <w:rPr>
          <w:rFonts w:hint="eastAsia"/>
          <w:lang w:val="en-US" w:eastAsia="zh-CN"/>
        </w:rPr>
        <w:t>-更多-生成评审表，导出后可直接打印出《专业技术职称评审表》，无需再填写评审表电子表格。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64785" cy="1988820"/>
            <wp:effectExtent l="0" t="0" r="1206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参评人员花名册</w:t>
      </w:r>
      <w:r>
        <w:rPr>
          <w:rFonts w:hint="eastAsia"/>
          <w:lang w:eastAsia="zh-CN"/>
        </w:rPr>
        <w:t>、数据包导出。</w:t>
      </w:r>
    </w:p>
    <w:p>
      <w:pPr>
        <w:numPr>
          <w:ilvl w:val="0"/>
          <w:numId w:val="0"/>
        </w:numPr>
        <w:bidi w:val="0"/>
        <w:ind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勾选</w:t>
      </w:r>
      <w:r>
        <w:rPr>
          <w:rFonts w:hint="eastAsia"/>
          <w:lang w:val="en-US" w:eastAsia="zh-CN"/>
        </w:rPr>
        <w:t>-更多-导出参评人员花名册或导出评审申报数据。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drawing>
          <wp:inline distT="0" distB="0" distL="114300" distR="114300">
            <wp:extent cx="5269230" cy="2185035"/>
            <wp:effectExtent l="0" t="0" r="762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五、结果备案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（一）线下备案程序及要求。</w:t>
      </w:r>
      <w:bookmarkStart w:id="0" w:name="_GoBack"/>
      <w:bookmarkEnd w:id="0"/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各系列（专业）评委会组建单位完成评审工作后，一是在系统提交评审通过人员信息至人社职改部门，二是同时递交结果备案纸质材料。</w:t>
      </w:r>
    </w:p>
    <w:p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操作步骤。 </w:t>
      </w:r>
    </w:p>
    <w:p>
      <w:pPr>
        <w:bidi w:val="0"/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专技职称管理-专技职称评审-专技职称评审审批-系列-等级-勾选通过人员-提交审批。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BDC847"/>
    <w:multiLevelType w:val="singleLevel"/>
    <w:tmpl w:val="B9BDC84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yMjFjMzcyMzAxZTk0MWJjYjgwZGZkODBiN2E1NWUifQ=="/>
  </w:docVars>
  <w:rsids>
    <w:rsidRoot w:val="3F3D1BE7"/>
    <w:rsid w:val="08CD5C6A"/>
    <w:rsid w:val="189D49FC"/>
    <w:rsid w:val="1E0FE8BE"/>
    <w:rsid w:val="2B724729"/>
    <w:rsid w:val="2E2844AD"/>
    <w:rsid w:val="3E281E5E"/>
    <w:rsid w:val="3F3D1BE7"/>
    <w:rsid w:val="4C46618C"/>
    <w:rsid w:val="550A543D"/>
    <w:rsid w:val="57FFEE21"/>
    <w:rsid w:val="6DCE3F9E"/>
    <w:rsid w:val="6FBFFAEB"/>
    <w:rsid w:val="6FF80EFD"/>
    <w:rsid w:val="767ED82D"/>
    <w:rsid w:val="9BEF3CF7"/>
    <w:rsid w:val="BFE786B7"/>
    <w:rsid w:val="D2FD8641"/>
    <w:rsid w:val="FCEBB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宋体"/>
      <w:b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943</Words>
  <Characters>968</Characters>
  <Lines>0</Lines>
  <Paragraphs>0</Paragraphs>
  <TotalTime>270</TotalTime>
  <ScaleCrop>false</ScaleCrop>
  <LinksUpToDate>false</LinksUpToDate>
  <CharactersWithSpaces>968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2022-02-24T18:18:00Z</dcterms:created>
  <dc:creator>谭旭</dc:creator>
  <cp:lastModifiedBy> 来瓶可乐吧</cp:lastModifiedBy>
  <dcterms:modified xsi:type="dcterms:W3CDTF">2022-06-30T00:53:40Z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603E35D8F409478EB1D96E2F7D35D468</vt:lpwstr>
  </property>
</Properties>
</file>